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jc w:val="center"/>
        <w:rPr>
          <w:rFonts w:ascii="黑体" w:hAnsi="黑体" w:eastAsia="黑体"/>
          <w:b w:val="0"/>
          <w:bCs w:val="0"/>
          <w:color w:val="353535"/>
          <w:sz w:val="36"/>
          <w:szCs w:val="36"/>
        </w:rPr>
      </w:pPr>
      <w:r>
        <w:rPr>
          <w:rFonts w:ascii="黑体" w:hAnsi="黑体" w:eastAsia="黑体"/>
          <w:b w:val="0"/>
          <w:bCs w:val="0"/>
          <w:color w:val="353535"/>
          <w:sz w:val="36"/>
          <w:szCs w:val="36"/>
        </w:rPr>
        <w:t>201</w:t>
      </w:r>
      <w:r>
        <w:rPr>
          <w:rFonts w:hint="eastAsia" w:ascii="黑体" w:hAnsi="黑体" w:eastAsia="黑体"/>
          <w:b w:val="0"/>
          <w:bCs w:val="0"/>
          <w:color w:val="353535"/>
          <w:sz w:val="36"/>
          <w:szCs w:val="36"/>
        </w:rPr>
        <w:t>9</w:t>
      </w:r>
      <w:r>
        <w:rPr>
          <w:rFonts w:ascii="黑体" w:hAnsi="黑体" w:eastAsia="黑体"/>
          <w:b w:val="0"/>
          <w:bCs w:val="0"/>
          <w:color w:val="353535"/>
          <w:sz w:val="36"/>
          <w:szCs w:val="36"/>
        </w:rPr>
        <w:t>年</w:t>
      </w:r>
      <w:r>
        <w:rPr>
          <w:rFonts w:hint="eastAsia" w:ascii="黑体" w:hAnsi="黑体" w:eastAsia="黑体"/>
          <w:b w:val="0"/>
          <w:bCs w:val="0"/>
          <w:color w:val="353535"/>
          <w:sz w:val="36"/>
          <w:szCs w:val="36"/>
        </w:rPr>
        <w:t>第二季度</w:t>
      </w:r>
      <w:r>
        <w:rPr>
          <w:rFonts w:ascii="黑体" w:hAnsi="黑体" w:eastAsia="黑体"/>
          <w:b w:val="0"/>
          <w:bCs w:val="0"/>
          <w:color w:val="353535"/>
          <w:sz w:val="36"/>
          <w:szCs w:val="36"/>
        </w:rPr>
        <w:t>裁判文书上网情况分析报告</w:t>
      </w:r>
    </w:p>
    <w:p>
      <w:pPr>
        <w:rPr>
          <w:rFonts w:ascii="宋体" w:hAnsi="宋体"/>
        </w:rPr>
      </w:pPr>
      <w:r>
        <w:rPr>
          <w:rFonts w:ascii="微软雅黑" w:hAnsi="微软雅黑"/>
          <w:color w:val="000000"/>
          <w:szCs w:val="21"/>
        </w:rPr>
        <w:br w:type="textWrapping"/>
      </w:r>
    </w:p>
    <w:p>
      <w:pPr>
        <w:rPr>
          <w:rFonts w:hint="eastAsia" w:ascii="微软雅黑" w:hAnsi="微软雅黑"/>
          <w:color w:val="000000"/>
          <w:szCs w:val="21"/>
        </w:rPr>
      </w:pPr>
      <w:r>
        <w:rPr>
          <w:rFonts w:hint="eastAsia" w:ascii="仿宋_GB2312" w:hAnsi="微软雅黑" w:eastAsia="仿宋_GB2312"/>
          <w:b/>
          <w:bCs/>
          <w:color w:val="000000"/>
          <w:sz w:val="32"/>
          <w:szCs w:val="32"/>
        </w:rPr>
        <w:t>    一、相关数据统计</w:t>
      </w:r>
    </w:p>
    <w:p>
      <w:pPr>
        <w:ind w:firstLine="720"/>
        <w:rPr>
          <w:rFonts w:hint="eastAsia" w:ascii="微软雅黑" w:hAnsi="微软雅黑"/>
          <w:color w:val="000000"/>
          <w:szCs w:val="21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2019年</w:t>
      </w:r>
      <w:r>
        <w:rPr>
          <w:rFonts w:ascii="仿宋_GB2312" w:hAnsi="微软雅黑" w:eastAsia="仿宋_GB2312"/>
          <w:color w:val="000000"/>
          <w:sz w:val="32"/>
          <w:szCs w:val="32"/>
        </w:rPr>
        <w:t>1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月1日至9月30日,我院共在中国裁判文书网上传2019年结案的各类裁判文书</w:t>
      </w:r>
      <w:r>
        <w:rPr>
          <w:rFonts w:ascii="仿宋_GB2312" w:hAnsi="微软雅黑" w:eastAsia="仿宋_GB2312"/>
          <w:color w:val="000000"/>
          <w:sz w:val="32"/>
          <w:szCs w:val="32"/>
        </w:rPr>
        <w:t>7031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份,其中刑事裁判文书</w:t>
      </w:r>
      <w:r>
        <w:rPr>
          <w:rFonts w:ascii="仿宋_GB2312" w:hAnsi="微软雅黑" w:eastAsia="仿宋_GB2312"/>
          <w:color w:val="000000"/>
          <w:sz w:val="32"/>
          <w:szCs w:val="32"/>
        </w:rPr>
        <w:t>349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份，占</w:t>
      </w:r>
      <w:r>
        <w:rPr>
          <w:rFonts w:ascii="仿宋_GB2312" w:hAnsi="微软雅黑" w:eastAsia="仿宋_GB2312"/>
          <w:color w:val="000000"/>
          <w:sz w:val="32"/>
          <w:szCs w:val="32"/>
        </w:rPr>
        <w:t>4.97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%；民事裁判文书</w:t>
      </w:r>
      <w:r>
        <w:rPr>
          <w:rFonts w:ascii="仿宋_GB2312" w:hAnsi="微软雅黑" w:eastAsia="仿宋_GB2312"/>
          <w:color w:val="000000"/>
          <w:sz w:val="32"/>
          <w:szCs w:val="32"/>
        </w:rPr>
        <w:t>4341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份，占</w:t>
      </w:r>
      <w:r>
        <w:rPr>
          <w:rFonts w:ascii="仿宋_GB2312" w:hAnsi="微软雅黑" w:eastAsia="仿宋_GB2312"/>
          <w:color w:val="000000"/>
          <w:sz w:val="32"/>
          <w:szCs w:val="32"/>
        </w:rPr>
        <w:t>61.74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%；行政裁判文书</w:t>
      </w:r>
      <w:r>
        <w:rPr>
          <w:rFonts w:ascii="仿宋_GB2312" w:hAnsi="微软雅黑" w:eastAsia="仿宋_GB2312"/>
          <w:color w:val="000000"/>
          <w:sz w:val="32"/>
          <w:szCs w:val="32"/>
        </w:rPr>
        <w:t>49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份，占</w:t>
      </w:r>
      <w:r>
        <w:rPr>
          <w:rFonts w:ascii="仿宋_GB2312" w:hAnsi="微软雅黑" w:eastAsia="仿宋_GB2312"/>
          <w:color w:val="000000"/>
          <w:sz w:val="32"/>
          <w:szCs w:val="32"/>
        </w:rPr>
        <w:t>0.69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%；执行裁判文书</w:t>
      </w:r>
      <w:r>
        <w:rPr>
          <w:rFonts w:ascii="仿宋_GB2312" w:hAnsi="微软雅黑" w:eastAsia="仿宋_GB2312"/>
          <w:color w:val="000000"/>
          <w:sz w:val="32"/>
          <w:szCs w:val="32"/>
        </w:rPr>
        <w:t>2291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份，占</w:t>
      </w:r>
      <w:r>
        <w:rPr>
          <w:rFonts w:ascii="仿宋_GB2312" w:hAnsi="微软雅黑" w:eastAsia="仿宋_GB2312"/>
          <w:color w:val="000000"/>
          <w:sz w:val="32"/>
          <w:szCs w:val="32"/>
        </w:rPr>
        <w:t>32.58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%。</w:t>
      </w:r>
    </w:p>
    <w:p>
      <w:pPr>
        <w:ind w:firstLine="72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2019年1月1日至9月30日，我院共在中国裁判文书网上传201</w:t>
      </w:r>
      <w:r>
        <w:rPr>
          <w:rFonts w:ascii="仿宋_GB2312" w:hAnsi="微软雅黑" w:eastAsia="仿宋_GB2312"/>
          <w:color w:val="000000"/>
          <w:sz w:val="32"/>
          <w:szCs w:val="32"/>
        </w:rPr>
        <w:t>9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年结案的不公开文书信息</w:t>
      </w:r>
      <w:r>
        <w:rPr>
          <w:rFonts w:ascii="仿宋_GB2312" w:hAnsi="微软雅黑" w:eastAsia="仿宋_GB2312"/>
          <w:color w:val="000000"/>
          <w:sz w:val="32"/>
          <w:szCs w:val="32"/>
        </w:rPr>
        <w:t>2112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条。我院共在中国裁判文书网上传201</w:t>
      </w:r>
      <w:r>
        <w:rPr>
          <w:rFonts w:ascii="仿宋_GB2312" w:hAnsi="微软雅黑" w:eastAsia="仿宋_GB2312"/>
          <w:color w:val="000000"/>
          <w:sz w:val="32"/>
          <w:szCs w:val="32"/>
        </w:rPr>
        <w:t>9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年结案的公开文书</w:t>
      </w:r>
      <w:r>
        <w:rPr>
          <w:rFonts w:ascii="仿宋_GB2312" w:hAnsi="微软雅黑" w:eastAsia="仿宋_GB2312"/>
          <w:color w:val="000000"/>
          <w:sz w:val="32"/>
          <w:szCs w:val="32"/>
        </w:rPr>
        <w:t>4918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条。</w:t>
      </w:r>
    </w:p>
    <w:p>
      <w:pPr>
        <w:ind w:firstLine="720"/>
        <w:rPr>
          <w:rFonts w:hint="eastAsia" w:ascii="微软雅黑" w:hAnsi="微软雅黑"/>
          <w:color w:val="000000"/>
          <w:szCs w:val="21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2019年1月1日至9月30日，我院裁判文书上网率为</w:t>
      </w:r>
      <w:r>
        <w:rPr>
          <w:rFonts w:ascii="仿宋_GB2312" w:hAnsi="微软雅黑" w:eastAsia="仿宋_GB2312"/>
          <w:color w:val="000000"/>
          <w:sz w:val="32"/>
          <w:szCs w:val="32"/>
        </w:rPr>
        <w:t>82.36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%。</w:t>
      </w:r>
    </w:p>
    <w:p>
      <w:pPr>
        <w:rPr>
          <w:rFonts w:hint="eastAsia" w:ascii="微软雅黑" w:hAnsi="微软雅黑"/>
          <w:color w:val="000000"/>
          <w:szCs w:val="21"/>
        </w:rPr>
      </w:pPr>
      <w:r>
        <w:rPr>
          <w:rFonts w:hint="eastAsia" w:ascii="仿宋_GB2312" w:hAnsi="微软雅黑" w:eastAsia="仿宋_GB2312"/>
          <w:b/>
          <w:bCs/>
          <w:color w:val="000000"/>
          <w:sz w:val="32"/>
          <w:szCs w:val="32"/>
        </w:rPr>
        <w:t>    二、2019年1月至9月文书上网态势分析</w:t>
      </w:r>
    </w:p>
    <w:p>
      <w:pPr>
        <w:ind w:firstLine="645"/>
        <w:rPr>
          <w:rFonts w:hint="eastAsia" w:ascii="微软雅黑" w:hAnsi="微软雅黑"/>
          <w:color w:val="000000"/>
          <w:szCs w:val="21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2019年1月至9月，我院文书上网率总体上升，呈现出逐步增长的态势。</w:t>
      </w:r>
    </w:p>
    <w:p>
      <w:pPr>
        <w:ind w:firstLine="645"/>
        <w:rPr>
          <w:rFonts w:hint="eastAsia" w:ascii="微软雅黑" w:hAnsi="微软雅黑"/>
          <w:color w:val="000000"/>
          <w:szCs w:val="21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2019年1月至9月，我院裁判文书上网率整体上升，主要有以下几点原因：</w:t>
      </w:r>
      <w:r>
        <w:rPr>
          <w:rFonts w:hint="eastAsia" w:ascii="仿宋" w:hAnsi="仿宋" w:eastAsia="仿宋" w:cs="宋体"/>
          <w:kern w:val="0"/>
          <w:sz w:val="30"/>
          <w:szCs w:val="30"/>
        </w:rPr>
        <w:t>工作运行状况良好，文书及时上传，做到随传不堆积，并且参照省高院标准，严格把关上网文书的质量，尽量做到零退回，提高整体上网率。</w:t>
      </w:r>
    </w:p>
    <w:p>
      <w:pPr>
        <w:rPr>
          <w:rFonts w:hint="eastAsia" w:ascii="微软雅黑" w:hAnsi="微软雅黑"/>
          <w:color w:val="000000"/>
          <w:szCs w:val="21"/>
        </w:rPr>
      </w:pPr>
      <w:r>
        <w:rPr>
          <w:rFonts w:hint="eastAsia" w:ascii="仿宋_GB2312" w:hAnsi="微软雅黑" w:eastAsia="仿宋_GB2312"/>
          <w:b/>
          <w:bCs/>
          <w:color w:val="000000"/>
          <w:sz w:val="32"/>
          <w:szCs w:val="32"/>
        </w:rPr>
        <w:t>    三、下一步工作建议</w:t>
      </w:r>
    </w:p>
    <w:p>
      <w:pPr>
        <w:widowControl/>
        <w:ind w:firstLine="640"/>
        <w:jc w:val="left"/>
        <w:rPr>
          <w:rFonts w:ascii="仿宋_GB2312" w:hAnsi="Calibri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b/>
          <w:bCs/>
          <w:color w:val="000000"/>
          <w:kern w:val="0"/>
          <w:sz w:val="32"/>
          <w:szCs w:val="32"/>
        </w:rPr>
        <w:t>一是重点强化裁判文书上网质量与效率。</w:t>
      </w:r>
      <w:r>
        <w:rPr>
          <w:rFonts w:hint="eastAsia" w:ascii="仿宋_GB2312" w:hAnsi="Calibri" w:eastAsia="仿宋_GB2312" w:cs="Calibri"/>
          <w:color w:val="000000"/>
          <w:kern w:val="0"/>
          <w:sz w:val="32"/>
          <w:szCs w:val="32"/>
        </w:rPr>
        <w:t xml:space="preserve">我院要进一步规范上网裁判文书制作标准，开展上网裁判文书质量专项评查活动，查改结合、以查促改，树立裁判文书质量规范意识、精品意识，建立完善上网裁判文书质量评查的常态工作机制。 </w:t>
      </w:r>
    </w:p>
    <w:p>
      <w:pPr>
        <w:widowControl/>
        <w:ind w:firstLine="643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Calibri" w:eastAsia="仿宋_GB2312" w:cs="Calibri"/>
          <w:b/>
          <w:bCs/>
          <w:color w:val="000000"/>
          <w:kern w:val="0"/>
          <w:sz w:val="32"/>
          <w:szCs w:val="32"/>
        </w:rPr>
        <w:t>二是严</w:t>
      </w:r>
      <w:r>
        <w:rPr>
          <w:rFonts w:hint="eastAsia" w:ascii="仿宋" w:hAnsi="仿宋" w:eastAsia="仿宋"/>
          <w:b/>
          <w:sz w:val="30"/>
          <w:szCs w:val="30"/>
        </w:rPr>
        <w:t>格执行文书审核把关制度</w:t>
      </w:r>
      <w:r>
        <w:rPr>
          <w:rFonts w:hint="eastAsia" w:ascii="仿宋" w:hAnsi="仿宋" w:eastAsia="仿宋"/>
          <w:sz w:val="30"/>
          <w:szCs w:val="30"/>
        </w:rPr>
        <w:t>，全面规范、管理裁判文书。</w:t>
      </w:r>
    </w:p>
    <w:p>
      <w:pPr>
        <w:widowControl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Calibri" w:eastAsia="仿宋_GB2312" w:cs="Calibri"/>
          <w:b/>
          <w:bCs/>
          <w:color w:val="000000"/>
          <w:kern w:val="0"/>
          <w:sz w:val="32"/>
          <w:szCs w:val="32"/>
        </w:rPr>
        <w:t>三是</w:t>
      </w:r>
      <w:r>
        <w:rPr>
          <w:rFonts w:hint="eastAsia" w:ascii="仿宋" w:hAnsi="仿宋" w:eastAsia="仿宋"/>
          <w:b/>
          <w:sz w:val="30"/>
          <w:szCs w:val="30"/>
        </w:rPr>
        <w:t>严切实改进审判工作作风</w:t>
      </w:r>
      <w:r>
        <w:rPr>
          <w:rFonts w:hint="eastAsia" w:ascii="仿宋" w:hAnsi="仿宋" w:eastAsia="仿宋"/>
          <w:sz w:val="30"/>
          <w:szCs w:val="30"/>
        </w:rPr>
        <w:t>，同时建立裁判文书出口把关制度，完善文书评查机制，对文书制作各个环节进行规范监督，对相关审核责任予以明确，落实层层把关</w:t>
      </w:r>
    </w:p>
    <w:p>
      <w:pPr>
        <w:widowControl/>
        <w:ind w:firstLine="640"/>
        <w:jc w:val="left"/>
        <w:rPr>
          <w:rFonts w:hint="eastAsia" w:ascii="微软雅黑" w:hAnsi="微软雅黑" w:eastAsia="宋体" w:cs="宋体"/>
          <w:color w:val="000000"/>
          <w:kern w:val="0"/>
          <w:sz w:val="18"/>
          <w:szCs w:val="18"/>
        </w:rPr>
      </w:pPr>
    </w:p>
    <w:p>
      <w:pPr>
        <w:ind w:firstLine="660"/>
        <w:rPr>
          <w:rFonts w:hint="eastAsia" w:ascii="微软雅黑" w:hAnsi="微软雅黑"/>
          <w:color w:val="000000"/>
          <w:szCs w:val="21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 </w:t>
      </w:r>
    </w:p>
    <w:p>
      <w:pPr>
        <w:ind w:firstLine="660"/>
        <w:rPr>
          <w:rFonts w:hint="eastAsia" w:ascii="微软雅黑" w:hAnsi="微软雅黑"/>
          <w:color w:val="000000"/>
          <w:szCs w:val="21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                                           长春市九台区人民法院</w:t>
      </w:r>
    </w:p>
    <w:p>
      <w:pPr>
        <w:ind w:firstLine="660"/>
        <w:rPr>
          <w:rFonts w:hint="eastAsia" w:ascii="微软雅黑" w:hAnsi="微软雅黑"/>
          <w:color w:val="000000"/>
          <w:szCs w:val="21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                                                </w:t>
      </w:r>
      <w:bookmarkStart w:id="0" w:name="_GoBack"/>
      <w:bookmarkEnd w:id="0"/>
      <w:r>
        <w:rPr>
          <w:rFonts w:hint="eastAsia" w:ascii="仿宋_GB2312" w:hAnsi="微软雅黑" w:eastAsia="仿宋_GB2312"/>
          <w:color w:val="000000"/>
          <w:sz w:val="32"/>
          <w:szCs w:val="32"/>
        </w:rPr>
        <w:t>2019年</w:t>
      </w:r>
      <w:r>
        <w:rPr>
          <w:rFonts w:ascii="仿宋_GB2312" w:hAnsi="微软雅黑" w:eastAsia="仿宋_GB2312"/>
          <w:color w:val="000000"/>
          <w:sz w:val="32"/>
          <w:szCs w:val="32"/>
        </w:rPr>
        <w:t>9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月30日</w:t>
      </w:r>
    </w:p>
    <w:p>
      <w:pPr>
        <w:rPr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173"/>
    <w:rsid w:val="000057CA"/>
    <w:rsid w:val="000E7E3B"/>
    <w:rsid w:val="0016721E"/>
    <w:rsid w:val="0020432B"/>
    <w:rsid w:val="002076DE"/>
    <w:rsid w:val="00271DA5"/>
    <w:rsid w:val="0028611C"/>
    <w:rsid w:val="00286338"/>
    <w:rsid w:val="00292D55"/>
    <w:rsid w:val="00297A0A"/>
    <w:rsid w:val="002F3FA9"/>
    <w:rsid w:val="00347CE5"/>
    <w:rsid w:val="003A787F"/>
    <w:rsid w:val="003B042A"/>
    <w:rsid w:val="003C4D0A"/>
    <w:rsid w:val="003D5375"/>
    <w:rsid w:val="003E006A"/>
    <w:rsid w:val="00440340"/>
    <w:rsid w:val="004E2975"/>
    <w:rsid w:val="004F6C83"/>
    <w:rsid w:val="00534F5A"/>
    <w:rsid w:val="005575EC"/>
    <w:rsid w:val="005C1449"/>
    <w:rsid w:val="0061727A"/>
    <w:rsid w:val="00634BD4"/>
    <w:rsid w:val="006E0222"/>
    <w:rsid w:val="00777CB5"/>
    <w:rsid w:val="007857A8"/>
    <w:rsid w:val="0083173A"/>
    <w:rsid w:val="00837498"/>
    <w:rsid w:val="00855FF1"/>
    <w:rsid w:val="008A10FA"/>
    <w:rsid w:val="008B3BD4"/>
    <w:rsid w:val="008D5918"/>
    <w:rsid w:val="00904B2D"/>
    <w:rsid w:val="00966A8D"/>
    <w:rsid w:val="00A53525"/>
    <w:rsid w:val="00A613FD"/>
    <w:rsid w:val="00B21E3D"/>
    <w:rsid w:val="00B33ECF"/>
    <w:rsid w:val="00B6552E"/>
    <w:rsid w:val="00C85859"/>
    <w:rsid w:val="00D04DC1"/>
    <w:rsid w:val="00D27173"/>
    <w:rsid w:val="00D36B62"/>
    <w:rsid w:val="00D70CE0"/>
    <w:rsid w:val="00D72207"/>
    <w:rsid w:val="00DB2307"/>
    <w:rsid w:val="00DC1AE3"/>
    <w:rsid w:val="00E529DB"/>
    <w:rsid w:val="00E96014"/>
    <w:rsid w:val="00EA109F"/>
    <w:rsid w:val="00ED2815"/>
    <w:rsid w:val="00EF7E7F"/>
    <w:rsid w:val="00F3327B"/>
    <w:rsid w:val="00F52208"/>
    <w:rsid w:val="00F71FAD"/>
    <w:rsid w:val="684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b/>
      <w:bCs/>
      <w:kern w:val="0"/>
      <w:sz w:val="30"/>
      <w:szCs w:val="30"/>
    </w:rPr>
  </w:style>
  <w:style w:type="paragraph" w:customStyle="1" w:styleId="17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30"/>
      <w:szCs w:val="30"/>
    </w:rPr>
  </w:style>
  <w:style w:type="paragraph" w:customStyle="1" w:styleId="18">
    <w:name w:val="xl63"/>
    <w:basedOn w:val="1"/>
    <w:uiPriority w:val="0"/>
    <w:pPr>
      <w:widowControl/>
      <w:pBdr>
        <w:top w:val="single" w:color="auto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28"/>
      <w:szCs w:val="28"/>
    </w:rPr>
  </w:style>
  <w:style w:type="paragraph" w:customStyle="1" w:styleId="19">
    <w:name w:val="xl64"/>
    <w:basedOn w:val="1"/>
    <w:uiPriority w:val="0"/>
    <w:pPr>
      <w:widowControl/>
      <w:pBdr>
        <w:top w:val="single" w:color="auto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28"/>
      <w:szCs w:val="28"/>
    </w:rPr>
  </w:style>
  <w:style w:type="paragraph" w:customStyle="1" w:styleId="20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1">
    <w:name w:val="xl66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2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Calibri" w:hAnsi="Calibri" w:eastAsia="宋体" w:cs="Calibri"/>
      <w:b/>
      <w:bCs/>
      <w:kern w:val="0"/>
      <w:sz w:val="30"/>
      <w:szCs w:val="30"/>
    </w:rPr>
  </w:style>
  <w:style w:type="paragraph" w:customStyle="1" w:styleId="24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styleId="2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6">
    <w:name w:val="标题 3 Char"/>
    <w:basedOn w:val="8"/>
    <w:link w:val="3"/>
    <w:semiHidden/>
    <w:uiPriority w:val="9"/>
    <w:rPr>
      <w:b/>
      <w:bCs/>
      <w:sz w:val="32"/>
      <w:szCs w:val="32"/>
    </w:rPr>
  </w:style>
  <w:style w:type="character" w:customStyle="1" w:styleId="27">
    <w:name w:val="apple-converted-space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119</Words>
  <Characters>679</Characters>
  <Lines>5</Lines>
  <Paragraphs>1</Paragraphs>
  <TotalTime>1528</TotalTime>
  <ScaleCrop>false</ScaleCrop>
  <LinksUpToDate>false</LinksUpToDate>
  <CharactersWithSpaces>797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2018-11-01T03:30:00Z</dcterms:created>
  <dc:creator>微软用户</dc:creator>
  <cp:lastModifiedBy>Administrator</cp:lastModifiedBy>
  <dcterms:modified xsi:type="dcterms:W3CDTF">2019-12-02T06:29:35Z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