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bin" ContentType="application/vnd.openxmlformats-officedocument.oleObjec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44"/>
          <w:szCs w:val="44"/>
        </w:rPr>
      </w:pPr>
      <w:bookmarkStart w:id="0" w:name="_GoBack"/>
      <w:r>
        <w:rPr>
          <w:rFonts w:asciiTheme="minorEastAsia" w:hAnsiTheme="minorEastAsia"/>
          <w:sz w:val="44"/>
          <w:szCs w:val="44"/>
        </w:rPr>
        <w:t>2017年</w:t>
      </w:r>
      <w:r>
        <w:rPr>
          <w:rFonts w:hint="eastAsia" w:asciiTheme="minorEastAsia" w:hAnsiTheme="minorEastAsia"/>
          <w:sz w:val="44"/>
          <w:szCs w:val="44"/>
        </w:rPr>
        <w:t>长春市九台区人民</w:t>
      </w:r>
      <w:r>
        <w:rPr>
          <w:rFonts w:asciiTheme="minorEastAsia" w:hAnsiTheme="minorEastAsia"/>
          <w:sz w:val="44"/>
          <w:szCs w:val="44"/>
        </w:rPr>
        <w:t>法院审判执行工作</w:t>
      </w:r>
    </w:p>
    <w:p>
      <w:pPr>
        <w:jc w:val="center"/>
        <w:rPr>
          <w:rFonts w:hint="eastAsia" w:asciiTheme="minorEastAsia" w:hAnsiTheme="minorEastAsia"/>
          <w:sz w:val="44"/>
          <w:szCs w:val="44"/>
          <w:lang w:eastAsia="zh-CN"/>
        </w:rPr>
      </w:pPr>
      <w:r>
        <w:rPr>
          <w:rFonts w:asciiTheme="minorEastAsia" w:hAnsiTheme="minorEastAsia"/>
          <w:sz w:val="44"/>
          <w:szCs w:val="44"/>
        </w:rPr>
        <w:t>情况</w:t>
      </w:r>
      <w:r>
        <w:rPr>
          <w:rFonts w:hint="eastAsia" w:asciiTheme="minorEastAsia" w:hAnsiTheme="minorEastAsia"/>
          <w:sz w:val="44"/>
          <w:szCs w:val="44"/>
          <w:lang w:eastAsia="zh-CN"/>
        </w:rPr>
        <w:t>分析报告</w:t>
      </w:r>
    </w:p>
    <w:p>
      <w:pPr>
        <w:jc w:val="center"/>
        <w:rPr>
          <w:rFonts w:hint="eastAsia" w:asciiTheme="minorEastAsia" w:hAnsiTheme="minorEastAsia"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ind w:firstLine="616" w:firstLineChars="2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cs="IFDQMT+ä»¿å®_GB2312" w:asciiTheme="minorEastAsia" w:hAnsiTheme="minorEastAsia"/>
          <w:color w:val="000000"/>
          <w:spacing w:val="14"/>
          <w:sz w:val="28"/>
          <w:szCs w:val="28"/>
        </w:rPr>
        <w:t>根据省法院数据管理和服务平台提取的我院</w:t>
      </w:r>
      <w:r>
        <w:rPr>
          <w:rFonts w:hint="eastAsia" w:cs="IFDQMT+ä»¿å®_GB2312" w:asciiTheme="minorEastAsia" w:hAnsiTheme="minorEastAsia"/>
          <w:color w:val="000000"/>
          <w:spacing w:val="-1"/>
          <w:sz w:val="28"/>
          <w:szCs w:val="28"/>
        </w:rPr>
        <w:t>办案数据（除执行案件）和执行指挥平台提取的我院执</w:t>
      </w:r>
      <w:r>
        <w:rPr>
          <w:rFonts w:hint="eastAsia" w:cs="IFDQMT+ä»¿å®_GB2312" w:asciiTheme="minorEastAsia" w:hAnsiTheme="minorEastAsia"/>
          <w:color w:val="000000"/>
          <w:sz w:val="28"/>
          <w:szCs w:val="28"/>
        </w:rPr>
        <w:t>行案件数据</w:t>
      </w:r>
      <w:r>
        <w:rPr>
          <w:rFonts w:hint="eastAsia" w:asciiTheme="minorEastAsia" w:hAnsiTheme="minorEastAsia"/>
          <w:color w:val="000000"/>
          <w:spacing w:val="1"/>
          <w:sz w:val="28"/>
          <w:szCs w:val="28"/>
        </w:rPr>
        <w:t>,</w:t>
      </w:r>
      <w:r>
        <w:rPr>
          <w:rFonts w:hint="eastAsia" w:cs="IFDQMT+ä»¿å®_GB2312" w:asciiTheme="minorEastAsia" w:hAnsiTheme="minorEastAsia"/>
          <w:color w:val="000000"/>
          <w:spacing w:val="-1"/>
          <w:sz w:val="28"/>
          <w:szCs w:val="28"/>
        </w:rPr>
        <w:t>我们对</w:t>
      </w:r>
      <w:r>
        <w:rPr>
          <w:rFonts w:hint="eastAsia" w:asciiTheme="minorEastAsia" w:hAnsiTheme="minorEastAsia"/>
          <w:color w:val="000000"/>
          <w:sz w:val="28"/>
          <w:szCs w:val="28"/>
        </w:rPr>
        <w:t>2017</w:t>
      </w:r>
      <w:r>
        <w:rPr>
          <w:rFonts w:hint="eastAsia" w:cs="IFDQMT+ä»¿å®_GB2312" w:asciiTheme="minorEastAsia" w:hAnsiTheme="minorEastAsia"/>
          <w:color w:val="000000"/>
          <w:sz w:val="28"/>
          <w:szCs w:val="28"/>
        </w:rPr>
        <w:t>年</w:t>
      </w:r>
      <w:r>
        <w:rPr>
          <w:rFonts w:hint="eastAsia" w:asciiTheme="minorEastAsia" w:hAnsiTheme="minorEastAsia"/>
          <w:color w:val="000000"/>
          <w:spacing w:val="63"/>
          <w:sz w:val="28"/>
          <w:szCs w:val="28"/>
        </w:rPr>
        <w:t>1</w:t>
      </w:r>
      <w:r>
        <w:rPr>
          <w:rFonts w:hint="eastAsia" w:cs="IFDQMT+ä»¿å®_GB2312" w:asciiTheme="minorEastAsia" w:hAnsiTheme="minorEastAsia"/>
          <w:color w:val="000000"/>
          <w:sz w:val="28"/>
          <w:szCs w:val="28"/>
        </w:rPr>
        <w:t>月</w:t>
      </w:r>
      <w:r>
        <w:rPr>
          <w:rFonts w:hint="eastAsia" w:asciiTheme="minorEastAsia" w:hAnsiTheme="minorEastAsia"/>
          <w:color w:val="000000"/>
          <w:spacing w:val="61"/>
          <w:sz w:val="28"/>
          <w:szCs w:val="28"/>
        </w:rPr>
        <w:t>1</w:t>
      </w:r>
      <w:r>
        <w:rPr>
          <w:rFonts w:hint="eastAsia" w:cs="IFDQMT+ä»¿å®_GB2312" w:asciiTheme="minorEastAsia" w:hAnsiTheme="minorEastAsia"/>
          <w:color w:val="000000"/>
          <w:spacing w:val="2"/>
          <w:sz w:val="28"/>
          <w:szCs w:val="28"/>
        </w:rPr>
        <w:t>日至</w:t>
      </w:r>
      <w:r>
        <w:rPr>
          <w:rFonts w:hint="eastAsia" w:asciiTheme="minorEastAsia" w:hAnsiTheme="minorEastAsia"/>
          <w:color w:val="000000"/>
          <w:sz w:val="28"/>
          <w:szCs w:val="28"/>
        </w:rPr>
        <w:t>12</w:t>
      </w:r>
      <w:r>
        <w:rPr>
          <w:rFonts w:hint="eastAsia" w:cs="IFDQMT+ä»¿å®_GB2312" w:asciiTheme="minorEastAsia" w:hAnsiTheme="minorEastAsia"/>
          <w:color w:val="000000"/>
          <w:sz w:val="28"/>
          <w:szCs w:val="28"/>
        </w:rPr>
        <w:t>月</w:t>
      </w:r>
      <w:r>
        <w:rPr>
          <w:rFonts w:hint="eastAsia" w:asciiTheme="minorEastAsia" w:hAnsiTheme="minorEastAsia"/>
          <w:color w:val="000000"/>
          <w:sz w:val="28"/>
          <w:szCs w:val="28"/>
        </w:rPr>
        <w:t>31</w:t>
      </w:r>
      <w:r>
        <w:rPr>
          <w:rFonts w:hint="eastAsia" w:cs="IFDQMT+ä»¿å®_GB2312" w:asciiTheme="minorEastAsia" w:hAnsiTheme="minorEastAsia"/>
          <w:color w:val="000000"/>
          <w:sz w:val="28"/>
          <w:szCs w:val="28"/>
        </w:rPr>
        <w:t>日九台法院</w:t>
      </w:r>
      <w:r>
        <w:rPr>
          <w:rFonts w:hint="eastAsia" w:cs="IFDQMT+ä»¿å®_GB2312" w:asciiTheme="minorEastAsia" w:hAnsiTheme="minorEastAsia"/>
          <w:color w:val="000000"/>
          <w:spacing w:val="-1"/>
          <w:sz w:val="28"/>
          <w:szCs w:val="28"/>
        </w:rPr>
        <w:t>审判执行工作情况进行了汇总分析</w:t>
      </w:r>
      <w:r>
        <w:rPr>
          <w:rFonts w:hint="eastAsia" w:asciiTheme="minorEastAsia" w:hAnsiTheme="minorEastAsia"/>
          <w:color w:val="000000"/>
          <w:sz w:val="28"/>
          <w:szCs w:val="28"/>
        </w:rPr>
        <w:t>。</w:t>
      </w:r>
      <w:r>
        <w:rPr>
          <w:rFonts w:hint="eastAsia" w:cs="IFDQMT+ä»¿å®_GB2312" w:asciiTheme="minorEastAsia" w:hAnsiTheme="minorEastAsia"/>
          <w:color w:val="000000"/>
          <w:spacing w:val="-11"/>
          <w:sz w:val="28"/>
          <w:szCs w:val="28"/>
        </w:rPr>
        <w:t>现通报如下：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一、九台法院审判执行工作总体情况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2017年，九台法院旧存各类案件（截至2016年12月31日未结案件）279件，新收11370件，旧存加新收合计11649件，结案11063件，结案率94.97%；截至12月31日，未结案件586件。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2017年与2016年相比，旧存减少1099件，下降79.75%；新收增加3991件，上升54.09%；旧存加新收合计增加2892件，上升33.03%；结案增加2587件，上升30.52%；结案率下降1.82个百分点；未结案件增加305件，增加了108.54%。</w:t>
      </w:r>
      <w:r>
        <w:rPr>
          <w:rFonts w:hint="eastAsia" w:asciiTheme="minorEastAsia" w:hAnsiTheme="minorEastAsia"/>
          <w:sz w:val="28"/>
          <w:szCs w:val="28"/>
        </w:rPr>
        <w:t>2017年九台法院案件收结存数量同比情况如图1所示。</w:t>
      </w:r>
    </w:p>
    <w:p>
      <w:pPr>
        <w:ind w:firstLine="422" w:firstLineChars="200"/>
        <w:jc w:val="center"/>
        <w:rPr>
          <w:b/>
          <w:bCs/>
        </w:rPr>
      </w:pPr>
      <w:r>
        <w:rPr>
          <w:rFonts w:hint="eastAsia"/>
          <w:b/>
          <w:bCs/>
        </w:rPr>
        <w:t>图1九台法院案件收结存数量同比情况（单位：件）</w:t>
      </w:r>
    </w:p>
    <w:p>
      <w:pPr>
        <w:jc w:val="center"/>
        <w:rPr>
          <w:b/>
          <w:bCs/>
        </w:rPr>
      </w:pPr>
      <w:r>
        <w:rPr>
          <w:b/>
          <w:bCs/>
        </w:rPr>
        <w:drawing>
          <wp:inline distT="0" distB="0" distL="0" distR="0">
            <wp:extent cx="5400040" cy="2638425"/>
            <wp:effectExtent l="19050" t="0" r="1016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2017年九台法院案件结收比（已结案件数/新收案件数）为</w:t>
      </w:r>
      <w:r>
        <w:rPr>
          <w:rFonts w:hint="eastAsia" w:asciiTheme="minorEastAsia" w:hAnsiTheme="minorEastAsia"/>
          <w:color w:val="000000"/>
          <w:sz w:val="28"/>
          <w:szCs w:val="28"/>
        </w:rPr>
        <w:t>97.30</w:t>
      </w:r>
      <w:r>
        <w:rPr>
          <w:rFonts w:asciiTheme="minorEastAsia" w:hAnsiTheme="minorEastAsia"/>
          <w:color w:val="000000"/>
          <w:sz w:val="28"/>
          <w:szCs w:val="28"/>
        </w:rPr>
        <w:t>%，相比2016年的</w:t>
      </w:r>
      <w:r>
        <w:rPr>
          <w:rFonts w:hint="eastAsia" w:asciiTheme="minorEastAsia" w:hAnsiTheme="minorEastAsia"/>
          <w:color w:val="000000"/>
          <w:sz w:val="28"/>
          <w:szCs w:val="28"/>
        </w:rPr>
        <w:t>114.87</w:t>
      </w:r>
      <w:r>
        <w:rPr>
          <w:rFonts w:asciiTheme="minorEastAsia" w:hAnsiTheme="minorEastAsia"/>
          <w:color w:val="000000"/>
          <w:sz w:val="28"/>
          <w:szCs w:val="28"/>
        </w:rPr>
        <w:t>%，</w:t>
      </w:r>
      <w:r>
        <w:rPr>
          <w:rFonts w:hint="eastAsia" w:asciiTheme="minorEastAsia" w:hAnsiTheme="minorEastAsia"/>
          <w:color w:val="000000"/>
          <w:sz w:val="28"/>
          <w:szCs w:val="28"/>
        </w:rPr>
        <w:t>下降了17.57</w:t>
      </w:r>
      <w:r>
        <w:rPr>
          <w:rFonts w:asciiTheme="minorEastAsia" w:hAnsiTheme="minorEastAsia"/>
          <w:color w:val="000000"/>
          <w:sz w:val="28"/>
          <w:szCs w:val="28"/>
        </w:rPr>
        <w:t>个百分点。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从2013年至2017年，九台法院年新收案件数从4303件迅速攀升至11370件。九台区人民法院在上级法院正确领导下，持续深化司法体制改革，不断创新加强审判管理，大力推进信息化建设，年审结案件数从4109件提升至11063件。特别是自2016年以来，九台区人民法院不断深化司法改革，大力加强审判团队建设，实行专业化审判，结案力度明显提升，清结积案的工作也取得明显成效。2013年至2017年九台法院收结案数和结收比变化趋势如图2和图3所示。</w:t>
      </w:r>
    </w:p>
    <w:p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hint="eastAsia"/>
          <w:b/>
          <w:bCs/>
        </w:rPr>
        <w:t>图2近5年九台法院收结案情况走势（单位：件）</w:t>
      </w:r>
    </w:p>
    <w:p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hint="eastAsia"/>
          <w:b/>
          <w:bCs/>
        </w:rPr>
        <w:drawing>
          <wp:inline distT="0" distB="0" distL="0" distR="0">
            <wp:extent cx="5400040" cy="2600325"/>
            <wp:effectExtent l="19050" t="0" r="10160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/>
          <w:b/>
          <w:bCs/>
        </w:rPr>
        <w:t>图3近5年九台法院收结比走势</w:t>
      </w:r>
    </w:p>
    <w:p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hint="eastAsia"/>
          <w:b/>
          <w:bCs/>
        </w:rPr>
        <w:drawing>
          <wp:inline distT="0" distB="0" distL="0" distR="0">
            <wp:extent cx="5400040" cy="2019300"/>
            <wp:effectExtent l="19050" t="0" r="10160" b="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2017年，</w:t>
      </w:r>
      <w:r>
        <w:rPr>
          <w:rFonts w:hint="eastAsia" w:asciiTheme="minorEastAsia" w:hAnsiTheme="minorEastAsia"/>
          <w:color w:val="000000"/>
          <w:sz w:val="28"/>
          <w:szCs w:val="28"/>
        </w:rPr>
        <w:t>我院</w:t>
      </w:r>
      <w:r>
        <w:rPr>
          <w:rFonts w:asciiTheme="minorEastAsia" w:hAnsiTheme="minorEastAsia"/>
          <w:color w:val="000000"/>
          <w:sz w:val="28"/>
          <w:szCs w:val="28"/>
        </w:rPr>
        <w:t>面对新收案件继续大幅增长的严峻态势，</w:t>
      </w:r>
      <w:r>
        <w:rPr>
          <w:rFonts w:hint="eastAsia" w:asciiTheme="minorEastAsia" w:hAnsiTheme="minorEastAsia"/>
          <w:color w:val="000000"/>
          <w:sz w:val="28"/>
          <w:szCs w:val="28"/>
        </w:rPr>
        <w:t>院党组</w:t>
      </w:r>
      <w:r>
        <w:rPr>
          <w:rFonts w:asciiTheme="minorEastAsia" w:hAnsiTheme="minorEastAsia"/>
          <w:color w:val="000000"/>
          <w:sz w:val="28"/>
          <w:szCs w:val="28"/>
        </w:rPr>
        <w:t>狠抓执法办案第一要务，</w:t>
      </w:r>
      <w:r>
        <w:rPr>
          <w:rFonts w:hint="eastAsia" w:asciiTheme="minorEastAsia" w:hAnsiTheme="minorEastAsia"/>
          <w:color w:val="000000"/>
          <w:sz w:val="28"/>
          <w:szCs w:val="28"/>
        </w:rPr>
        <w:t>年初即认真谋化，预判2017年工作形势，有针对性地提出2017年工作方案，对案多人少、法官年纪偏大、部分案件审理周期长等因素作出了合理的工作方案，</w:t>
      </w:r>
      <w:r>
        <w:rPr>
          <w:rFonts w:asciiTheme="minorEastAsia" w:hAnsiTheme="minorEastAsia"/>
          <w:color w:val="000000"/>
          <w:sz w:val="28"/>
          <w:szCs w:val="28"/>
        </w:rPr>
        <w:t>九台法院新收案件、审结案件</w:t>
      </w:r>
      <w:r>
        <w:rPr>
          <w:rFonts w:hint="eastAsia" w:asciiTheme="minorEastAsia" w:hAnsiTheme="minorEastAsia"/>
          <w:color w:val="000000"/>
          <w:sz w:val="28"/>
          <w:szCs w:val="28"/>
        </w:rPr>
        <w:t>均</w:t>
      </w:r>
      <w:r>
        <w:rPr>
          <w:rFonts w:asciiTheme="minorEastAsia" w:hAnsiTheme="minorEastAsia"/>
          <w:color w:val="000000"/>
          <w:sz w:val="28"/>
          <w:szCs w:val="28"/>
        </w:rPr>
        <w:t>呈现出的良好态势，审判执行工作进一步向好发展。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二、审判工作总体情况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2017年，</w:t>
      </w:r>
      <w:r>
        <w:rPr>
          <w:rFonts w:hint="eastAsia" w:asciiTheme="minorEastAsia" w:hAnsiTheme="minorEastAsia"/>
          <w:color w:val="000000"/>
          <w:sz w:val="28"/>
          <w:szCs w:val="28"/>
        </w:rPr>
        <w:t>九台法院</w:t>
      </w:r>
      <w:r>
        <w:rPr>
          <w:rFonts w:asciiTheme="minorEastAsia" w:hAnsiTheme="minorEastAsia"/>
          <w:color w:val="000000"/>
          <w:sz w:val="28"/>
          <w:szCs w:val="28"/>
        </w:rPr>
        <w:t>旧存审判类案件</w:t>
      </w:r>
      <w:r>
        <w:rPr>
          <w:rFonts w:hint="eastAsia" w:asciiTheme="minorEastAsia" w:hAnsiTheme="minorEastAsia"/>
          <w:color w:val="000000"/>
          <w:sz w:val="28"/>
          <w:szCs w:val="28"/>
        </w:rPr>
        <w:t>263</w:t>
      </w:r>
      <w:r>
        <w:rPr>
          <w:rFonts w:asciiTheme="minorEastAsia" w:hAnsiTheme="minorEastAsia"/>
          <w:color w:val="000000"/>
          <w:sz w:val="28"/>
          <w:szCs w:val="28"/>
        </w:rPr>
        <w:t>件（截至2016年12月31日未结案件），新收</w:t>
      </w:r>
      <w:r>
        <w:rPr>
          <w:rFonts w:hint="eastAsia" w:asciiTheme="minorEastAsia" w:hAnsiTheme="minorEastAsia"/>
          <w:color w:val="000000"/>
          <w:sz w:val="28"/>
          <w:szCs w:val="28"/>
        </w:rPr>
        <w:t>7767</w:t>
      </w:r>
      <w:r>
        <w:rPr>
          <w:rFonts w:asciiTheme="minorEastAsia" w:hAnsiTheme="minorEastAsia"/>
          <w:color w:val="000000"/>
          <w:sz w:val="28"/>
          <w:szCs w:val="28"/>
        </w:rPr>
        <w:t>件，旧存加新收合计</w:t>
      </w:r>
      <w:r>
        <w:rPr>
          <w:rFonts w:hint="eastAsia" w:asciiTheme="minorEastAsia" w:hAnsiTheme="minorEastAsia"/>
          <w:color w:val="000000"/>
          <w:sz w:val="28"/>
          <w:szCs w:val="28"/>
        </w:rPr>
        <w:t>8030</w:t>
      </w:r>
      <w:r>
        <w:rPr>
          <w:rFonts w:asciiTheme="minorEastAsia" w:hAnsiTheme="minorEastAsia"/>
          <w:color w:val="000000"/>
          <w:sz w:val="28"/>
          <w:szCs w:val="28"/>
        </w:rPr>
        <w:t>件，结案</w:t>
      </w:r>
      <w:r>
        <w:rPr>
          <w:rFonts w:hint="eastAsia" w:asciiTheme="minorEastAsia" w:hAnsiTheme="minorEastAsia"/>
          <w:color w:val="000000"/>
          <w:sz w:val="28"/>
          <w:szCs w:val="28"/>
        </w:rPr>
        <w:t>7771</w:t>
      </w:r>
      <w:r>
        <w:rPr>
          <w:rFonts w:asciiTheme="minorEastAsia" w:hAnsiTheme="minorEastAsia"/>
          <w:color w:val="000000"/>
          <w:sz w:val="28"/>
          <w:szCs w:val="28"/>
        </w:rPr>
        <w:t>件，结案率</w:t>
      </w:r>
      <w:r>
        <w:rPr>
          <w:rFonts w:hint="eastAsia" w:asciiTheme="minorEastAsia" w:hAnsiTheme="minorEastAsia"/>
          <w:color w:val="000000"/>
          <w:sz w:val="28"/>
          <w:szCs w:val="28"/>
        </w:rPr>
        <w:t>96.77</w:t>
      </w:r>
      <w:r>
        <w:rPr>
          <w:rFonts w:asciiTheme="minorEastAsia" w:hAnsiTheme="minorEastAsia"/>
          <w:color w:val="000000"/>
          <w:sz w:val="28"/>
          <w:szCs w:val="28"/>
        </w:rPr>
        <w:t>%；截至12月31日，未结案件</w:t>
      </w:r>
      <w:r>
        <w:rPr>
          <w:rFonts w:hint="eastAsia" w:asciiTheme="minorEastAsia" w:hAnsiTheme="minorEastAsia"/>
          <w:color w:val="000000"/>
          <w:sz w:val="28"/>
          <w:szCs w:val="28"/>
        </w:rPr>
        <w:t>259</w:t>
      </w:r>
      <w:r>
        <w:rPr>
          <w:rFonts w:asciiTheme="minorEastAsia" w:hAnsiTheme="minorEastAsia"/>
          <w:color w:val="000000"/>
          <w:sz w:val="28"/>
          <w:szCs w:val="28"/>
        </w:rPr>
        <w:t>件。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2017年与2016年相比，审判类案件旧存减少1020件，下降79.50%；新收增加2777件，上升55.65%；旧存加新收合计增加1757件，上升28.01%；结案增加1762件，上升29.32%；结案率上升0.98个百分点；未结案件减少5件，下降1.89%。</w:t>
      </w:r>
      <w:r>
        <w:rPr>
          <w:rFonts w:hint="eastAsia" w:ascii="宋体" w:hAnsi="宋体" w:eastAsia="宋体"/>
          <w:sz w:val="28"/>
          <w:szCs w:val="28"/>
        </w:rPr>
        <w:t>2017年九台法院审判类案件收结存数量同比情况如图4所示。</w:t>
      </w:r>
    </w:p>
    <w:p>
      <w:pPr>
        <w:autoSpaceDE w:val="0"/>
        <w:autoSpaceDN w:val="0"/>
        <w:adjustRightInd w:val="0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/>
          <w:b/>
          <w:bCs/>
        </w:rPr>
        <w:t>图4九台法院审判类案件收结存数量同比情况（单位：件）</w:t>
      </w:r>
    </w:p>
    <w:p>
      <w:pPr>
        <w:autoSpaceDE w:val="0"/>
        <w:autoSpaceDN w:val="0"/>
        <w:adjustRightInd w:val="0"/>
        <w:jc w:val="center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drawing>
          <wp:inline distT="0" distB="0" distL="0" distR="0">
            <wp:extent cx="5400040" cy="3019425"/>
            <wp:effectExtent l="19050" t="0" r="10160" b="0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2017年九台法院审判类案件结收比（已结案件数/新收案件数）为100.05%，相比2016年120.42%的收结比，下降20.37个百分点。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2017年九台法院各主要类型案件平均审理时长为：民事一审案件</w:t>
      </w:r>
      <w:r>
        <w:rPr>
          <w:rFonts w:hint="eastAsia" w:asciiTheme="minorEastAsia" w:hAnsiTheme="minorEastAsia"/>
          <w:color w:val="000000"/>
          <w:sz w:val="28"/>
          <w:szCs w:val="28"/>
        </w:rPr>
        <w:t>43.4</w:t>
      </w:r>
      <w:r>
        <w:rPr>
          <w:rFonts w:asciiTheme="minorEastAsia" w:hAnsiTheme="minorEastAsia"/>
          <w:color w:val="000000"/>
          <w:sz w:val="28"/>
          <w:szCs w:val="28"/>
        </w:rPr>
        <w:t>天，刑事一审案件</w:t>
      </w:r>
      <w:r>
        <w:rPr>
          <w:rFonts w:hint="eastAsia" w:asciiTheme="minorEastAsia" w:hAnsiTheme="minorEastAsia"/>
          <w:color w:val="000000"/>
          <w:sz w:val="28"/>
          <w:szCs w:val="28"/>
        </w:rPr>
        <w:t>24.2</w:t>
      </w:r>
      <w:r>
        <w:rPr>
          <w:rFonts w:asciiTheme="minorEastAsia" w:hAnsiTheme="minorEastAsia"/>
          <w:color w:val="000000"/>
          <w:sz w:val="28"/>
          <w:szCs w:val="28"/>
        </w:rPr>
        <w:t>天，行政一审案件</w:t>
      </w:r>
      <w:r>
        <w:rPr>
          <w:rFonts w:hint="eastAsia" w:asciiTheme="minorEastAsia" w:hAnsiTheme="minorEastAsia"/>
          <w:color w:val="000000"/>
          <w:sz w:val="28"/>
          <w:szCs w:val="28"/>
        </w:rPr>
        <w:t>43.9</w:t>
      </w:r>
      <w:r>
        <w:rPr>
          <w:rFonts w:asciiTheme="minorEastAsia" w:hAnsiTheme="minorEastAsia"/>
          <w:color w:val="000000"/>
          <w:sz w:val="28"/>
          <w:szCs w:val="28"/>
        </w:rPr>
        <w:t>天，赔偿案件</w:t>
      </w:r>
      <w:r>
        <w:rPr>
          <w:rFonts w:hint="eastAsia" w:asciiTheme="minorEastAsia" w:hAnsiTheme="minorEastAsia"/>
          <w:color w:val="000000"/>
          <w:sz w:val="28"/>
          <w:szCs w:val="28"/>
        </w:rPr>
        <w:t>43</w:t>
      </w:r>
      <w:r>
        <w:rPr>
          <w:rFonts w:asciiTheme="minorEastAsia" w:hAnsiTheme="minorEastAsia"/>
          <w:color w:val="000000"/>
          <w:sz w:val="28"/>
          <w:szCs w:val="28"/>
        </w:rPr>
        <w:t>天。</w:t>
      </w:r>
      <w:r>
        <w:rPr>
          <w:rFonts w:hint="eastAsia" w:asciiTheme="minorEastAsia" w:hAnsiTheme="minorEastAsia"/>
          <w:color w:val="000000"/>
          <w:sz w:val="28"/>
          <w:szCs w:val="28"/>
        </w:rPr>
        <w:t>如图5所示。</w:t>
      </w:r>
    </w:p>
    <w:p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hint="eastAsia"/>
          <w:b/>
          <w:bCs/>
        </w:rPr>
        <w:t>图5九台法院主要类型案件平均审理时长（单位：天）</w:t>
      </w:r>
    </w:p>
    <w:p>
      <w:pPr>
        <w:autoSpaceDE w:val="0"/>
        <w:autoSpaceDN w:val="0"/>
        <w:adjustRightInd w:val="0"/>
        <w:jc w:val="center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drawing>
          <wp:inline distT="0" distB="0" distL="0" distR="0">
            <wp:extent cx="5400040" cy="2543175"/>
            <wp:effectExtent l="19050" t="0" r="10160" b="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三、九台法院新收审判类案件情况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2017年九台法院共新收审判类案件</w:t>
      </w:r>
      <w:r>
        <w:rPr>
          <w:rFonts w:hint="eastAsia" w:asciiTheme="minorEastAsia" w:hAnsiTheme="minorEastAsia"/>
          <w:color w:val="000000"/>
          <w:sz w:val="28"/>
          <w:szCs w:val="28"/>
        </w:rPr>
        <w:t>7767件</w:t>
      </w:r>
      <w:r>
        <w:rPr>
          <w:rFonts w:asciiTheme="minorEastAsia" w:hAnsiTheme="minorEastAsia"/>
          <w:color w:val="000000"/>
          <w:sz w:val="28"/>
          <w:szCs w:val="28"/>
        </w:rPr>
        <w:t>，与2016年新收</w:t>
      </w:r>
      <w:r>
        <w:rPr>
          <w:rFonts w:hint="eastAsia" w:asciiTheme="minorEastAsia" w:hAnsiTheme="minorEastAsia"/>
          <w:color w:val="000000"/>
          <w:sz w:val="28"/>
          <w:szCs w:val="28"/>
        </w:rPr>
        <w:t>4990</w:t>
      </w:r>
      <w:r>
        <w:rPr>
          <w:rFonts w:asciiTheme="minorEastAsia" w:hAnsiTheme="minorEastAsia"/>
          <w:color w:val="000000"/>
          <w:sz w:val="28"/>
          <w:szCs w:val="28"/>
        </w:rPr>
        <w:t>件相比，增加</w:t>
      </w:r>
      <w:r>
        <w:rPr>
          <w:rFonts w:hint="eastAsia" w:asciiTheme="minorEastAsia" w:hAnsiTheme="minorEastAsia"/>
          <w:color w:val="000000"/>
          <w:sz w:val="28"/>
          <w:szCs w:val="28"/>
        </w:rPr>
        <w:t>2777</w:t>
      </w:r>
      <w:r>
        <w:rPr>
          <w:rFonts w:asciiTheme="minorEastAsia" w:hAnsiTheme="minorEastAsia"/>
          <w:color w:val="000000"/>
          <w:sz w:val="28"/>
          <w:szCs w:val="28"/>
        </w:rPr>
        <w:t>件，上升</w:t>
      </w:r>
      <w:r>
        <w:rPr>
          <w:rFonts w:hint="eastAsia" w:asciiTheme="minorEastAsia" w:hAnsiTheme="minorEastAsia"/>
          <w:color w:val="000000"/>
          <w:sz w:val="28"/>
          <w:szCs w:val="28"/>
        </w:rPr>
        <w:t>55.65</w:t>
      </w:r>
      <w:r>
        <w:rPr>
          <w:rFonts w:asciiTheme="minorEastAsia" w:hAnsiTheme="minorEastAsia"/>
          <w:color w:val="000000"/>
          <w:sz w:val="28"/>
          <w:szCs w:val="28"/>
        </w:rPr>
        <w:t>%。其中，新收一审案件</w:t>
      </w:r>
      <w:r>
        <w:rPr>
          <w:rFonts w:hint="eastAsia" w:asciiTheme="minorEastAsia" w:hAnsiTheme="minorEastAsia"/>
          <w:color w:val="000000"/>
          <w:sz w:val="28"/>
          <w:szCs w:val="28"/>
        </w:rPr>
        <w:t>7338</w:t>
      </w:r>
      <w:r>
        <w:rPr>
          <w:rFonts w:asciiTheme="minorEastAsia" w:hAnsiTheme="minorEastAsia"/>
          <w:color w:val="000000"/>
          <w:sz w:val="28"/>
          <w:szCs w:val="28"/>
        </w:rPr>
        <w:t>件，同比2016年的</w:t>
      </w:r>
      <w:r>
        <w:rPr>
          <w:rFonts w:hint="eastAsia" w:asciiTheme="minorEastAsia" w:hAnsiTheme="minorEastAsia"/>
          <w:color w:val="000000"/>
          <w:sz w:val="28"/>
          <w:szCs w:val="28"/>
        </w:rPr>
        <w:t>4747</w:t>
      </w:r>
      <w:r>
        <w:rPr>
          <w:rFonts w:asciiTheme="minorEastAsia" w:hAnsiTheme="minorEastAsia"/>
          <w:color w:val="000000"/>
          <w:sz w:val="28"/>
          <w:szCs w:val="28"/>
        </w:rPr>
        <w:t>件</w:t>
      </w:r>
      <w:r>
        <w:rPr>
          <w:rFonts w:hint="eastAsia" w:asciiTheme="minorEastAsia" w:hAnsiTheme="minorEastAsia"/>
          <w:color w:val="000000"/>
          <w:sz w:val="28"/>
          <w:szCs w:val="28"/>
        </w:rPr>
        <w:t>，上升54.58</w:t>
      </w:r>
      <w:r>
        <w:rPr>
          <w:rFonts w:asciiTheme="minorEastAsia" w:hAnsiTheme="minorEastAsia"/>
          <w:color w:val="000000"/>
          <w:sz w:val="28"/>
          <w:szCs w:val="28"/>
        </w:rPr>
        <w:t>%</w:t>
      </w:r>
      <w:r>
        <w:rPr>
          <w:rFonts w:hint="eastAsia" w:asciiTheme="minorEastAsia" w:hAnsiTheme="minorEastAsia"/>
          <w:color w:val="000000"/>
          <w:sz w:val="28"/>
          <w:szCs w:val="28"/>
        </w:rPr>
        <w:t>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四、九台</w:t>
      </w:r>
      <w:r>
        <w:rPr>
          <w:rFonts w:hint="eastAsia" w:ascii="宋体" w:hAnsi="宋体" w:eastAsia="宋体"/>
          <w:sz w:val="28"/>
          <w:szCs w:val="28"/>
        </w:rPr>
        <w:t>法院审结审判类案件情况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2017年九台法院共</w:t>
      </w:r>
      <w:r>
        <w:rPr>
          <w:rFonts w:hint="eastAsia" w:asciiTheme="minorEastAsia" w:hAnsiTheme="minorEastAsia"/>
          <w:color w:val="000000"/>
          <w:sz w:val="28"/>
          <w:szCs w:val="28"/>
        </w:rPr>
        <w:t>审结</w:t>
      </w:r>
      <w:r>
        <w:rPr>
          <w:rFonts w:asciiTheme="minorEastAsia" w:hAnsiTheme="minorEastAsia"/>
          <w:color w:val="000000"/>
          <w:sz w:val="28"/>
          <w:szCs w:val="28"/>
        </w:rPr>
        <w:t>审判类案件</w:t>
      </w:r>
      <w:r>
        <w:rPr>
          <w:rFonts w:hint="eastAsia" w:asciiTheme="minorEastAsia" w:hAnsiTheme="minorEastAsia"/>
          <w:color w:val="000000"/>
          <w:sz w:val="28"/>
          <w:szCs w:val="28"/>
        </w:rPr>
        <w:t>7771件</w:t>
      </w:r>
      <w:r>
        <w:rPr>
          <w:rFonts w:asciiTheme="minorEastAsia" w:hAnsiTheme="minorEastAsia"/>
          <w:color w:val="000000"/>
          <w:sz w:val="28"/>
          <w:szCs w:val="28"/>
        </w:rPr>
        <w:t>，与2016年</w:t>
      </w:r>
      <w:r>
        <w:rPr>
          <w:rFonts w:hint="eastAsia" w:asciiTheme="minorEastAsia" w:hAnsiTheme="minorEastAsia"/>
          <w:color w:val="000000"/>
          <w:sz w:val="28"/>
          <w:szCs w:val="28"/>
        </w:rPr>
        <w:t>审结6009</w:t>
      </w:r>
      <w:r>
        <w:rPr>
          <w:rFonts w:asciiTheme="minorEastAsia" w:hAnsiTheme="minorEastAsia"/>
          <w:color w:val="000000"/>
          <w:sz w:val="28"/>
          <w:szCs w:val="28"/>
        </w:rPr>
        <w:t>件相比，增加</w:t>
      </w:r>
      <w:r>
        <w:rPr>
          <w:rFonts w:hint="eastAsia" w:asciiTheme="minorEastAsia" w:hAnsiTheme="minorEastAsia"/>
          <w:color w:val="000000"/>
          <w:sz w:val="28"/>
          <w:szCs w:val="28"/>
        </w:rPr>
        <w:t>1762</w:t>
      </w:r>
      <w:r>
        <w:rPr>
          <w:rFonts w:asciiTheme="minorEastAsia" w:hAnsiTheme="minorEastAsia"/>
          <w:color w:val="000000"/>
          <w:sz w:val="28"/>
          <w:szCs w:val="28"/>
        </w:rPr>
        <w:t>件，</w:t>
      </w:r>
      <w:r>
        <w:rPr>
          <w:rFonts w:hint="eastAsia" w:asciiTheme="minorEastAsia" w:hAnsiTheme="minorEastAsia"/>
          <w:color w:val="000000"/>
          <w:sz w:val="28"/>
          <w:szCs w:val="28"/>
        </w:rPr>
        <w:t>上升29.32</w:t>
      </w:r>
      <w:r>
        <w:rPr>
          <w:rFonts w:asciiTheme="minorEastAsia" w:hAnsiTheme="minorEastAsia"/>
          <w:color w:val="000000"/>
          <w:sz w:val="28"/>
          <w:szCs w:val="28"/>
        </w:rPr>
        <w:t>%。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（一）九台法院</w:t>
      </w:r>
      <w:r>
        <w:rPr>
          <w:rFonts w:ascii="宋体" w:hAnsi="宋体" w:eastAsia="宋体" w:cs="Times New Roman"/>
          <w:color w:val="000000"/>
          <w:sz w:val="28"/>
          <w:szCs w:val="28"/>
        </w:rPr>
        <w:t>审结案件的审判程序情况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2017年，九台法院审结一审案件7338件，同比2016年的5769件增加27.20%；共审结民事一审案件6860件，占全部民事案件6941件的98.83%。审结刑事一审案件419件，占全部刑事案件428件的97.90%。审结行政一审案件59件，占全部行政案件220件的26.82%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（二）九台法院审结案件的案由、罪名、行政管理范围情况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2017年九台法院审结民事案件中，数量最多、占比最大的5类案由分别是：合同纠纷、婚姻家庭纠纷、劳动争议、侵权责任纠纷、物权纠纷。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九台法院审结的刑事案件中，数量最多、占比最大的5类罪名分别是：故意伤害罪、盗窃罪、危险驾驶罪、诈骗罪、交通肇事罪。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九台法院审结的行政案件中，数量最多、占比最大的4类行政管理范围分别是：公安、国土资源、劳动社会保障、拆迁。</w:t>
      </w:r>
    </w:p>
    <w:p>
      <w:pPr>
        <w:ind w:firstLine="560" w:firstLineChars="200"/>
      </w:pPr>
      <w:r>
        <w:rPr>
          <w:rFonts w:hint="eastAsia" w:ascii="宋体" w:hAnsi="宋体" w:eastAsia="宋体"/>
          <w:sz w:val="28"/>
          <w:szCs w:val="28"/>
        </w:rPr>
        <w:t>（三）九台法院审结审判类案件一审简易程序适用率、发回重审率、改判率情况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2017年，九台法院审结的一审案件中，简易程序适用率为91.85%，同比2016年的86.02%，上升5.83个百分点。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2017年，九台法院二审发回重审率、改判率分别为1.30%、0.14‰，同比2016年的1.15%、0.08‰，分别下降0.15和0.006个百分点。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五、九台法院</w:t>
      </w:r>
      <w:r>
        <w:rPr>
          <w:rFonts w:asciiTheme="minorEastAsia" w:hAnsiTheme="minorEastAsia"/>
          <w:color w:val="000000"/>
          <w:sz w:val="28"/>
          <w:szCs w:val="28"/>
        </w:rPr>
        <w:t>未结审判类案件情况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截至2017年12月31日，</w:t>
      </w:r>
      <w:r>
        <w:rPr>
          <w:rFonts w:hint="eastAsia" w:asciiTheme="minorEastAsia" w:hAnsiTheme="minorEastAsia"/>
          <w:color w:val="000000"/>
          <w:sz w:val="28"/>
          <w:szCs w:val="28"/>
        </w:rPr>
        <w:t>九台</w:t>
      </w:r>
      <w:r>
        <w:rPr>
          <w:rFonts w:asciiTheme="minorEastAsia" w:hAnsiTheme="minorEastAsia"/>
          <w:color w:val="000000"/>
          <w:sz w:val="28"/>
          <w:szCs w:val="28"/>
        </w:rPr>
        <w:t>法院未结审判类案件</w:t>
      </w:r>
      <w:r>
        <w:rPr>
          <w:rFonts w:hint="eastAsia" w:asciiTheme="minorEastAsia" w:hAnsiTheme="minorEastAsia"/>
          <w:color w:val="000000"/>
          <w:sz w:val="28"/>
          <w:szCs w:val="28"/>
        </w:rPr>
        <w:t>251件</w:t>
      </w:r>
      <w:r>
        <w:rPr>
          <w:rFonts w:asciiTheme="minorEastAsia" w:hAnsiTheme="minorEastAsia"/>
          <w:color w:val="000000"/>
          <w:sz w:val="28"/>
          <w:szCs w:val="28"/>
        </w:rPr>
        <w:t>，与2016年</w:t>
      </w:r>
      <w:r>
        <w:rPr>
          <w:rFonts w:hint="eastAsia" w:asciiTheme="minorEastAsia" w:hAnsiTheme="minorEastAsia"/>
          <w:color w:val="000000"/>
          <w:sz w:val="28"/>
          <w:szCs w:val="28"/>
        </w:rPr>
        <w:t>248件</w:t>
      </w:r>
      <w:r>
        <w:rPr>
          <w:rFonts w:asciiTheme="minorEastAsia" w:hAnsiTheme="minorEastAsia"/>
          <w:color w:val="000000"/>
          <w:sz w:val="28"/>
          <w:szCs w:val="28"/>
        </w:rPr>
        <w:t>相比，</w:t>
      </w:r>
      <w:r>
        <w:rPr>
          <w:rFonts w:hint="eastAsia" w:asciiTheme="minorEastAsia" w:hAnsiTheme="minorEastAsia"/>
          <w:color w:val="000000"/>
          <w:sz w:val="28"/>
          <w:szCs w:val="28"/>
        </w:rPr>
        <w:t>增加3</w:t>
      </w:r>
      <w:r>
        <w:rPr>
          <w:rFonts w:asciiTheme="minorEastAsia" w:hAnsiTheme="minorEastAsia"/>
          <w:color w:val="000000"/>
          <w:sz w:val="28"/>
          <w:szCs w:val="28"/>
        </w:rPr>
        <w:t>件，</w:t>
      </w:r>
      <w:r>
        <w:rPr>
          <w:rFonts w:hint="eastAsia" w:asciiTheme="minorEastAsia" w:hAnsiTheme="minorEastAsia"/>
          <w:color w:val="000000"/>
          <w:sz w:val="28"/>
          <w:szCs w:val="28"/>
        </w:rPr>
        <w:t>上升1.20</w:t>
      </w:r>
      <w:r>
        <w:rPr>
          <w:rFonts w:asciiTheme="minorEastAsia" w:hAnsiTheme="minorEastAsia"/>
          <w:color w:val="000000"/>
          <w:sz w:val="28"/>
          <w:szCs w:val="28"/>
        </w:rPr>
        <w:t>%。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六、</w:t>
      </w:r>
      <w:r>
        <w:rPr>
          <w:rFonts w:hint="eastAsia" w:ascii="宋体" w:hAnsi="宋体" w:eastAsia="宋体"/>
          <w:sz w:val="28"/>
          <w:szCs w:val="28"/>
        </w:rPr>
        <w:t>长期未结诉讼案件情况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截至2017年12月31日，九台法院审理时间超过一年（自立案之日起计算，不考虑扣除审限情况）的未结诉讼案件共1件，审理时间超过六个月案件共计65件。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七、九台法院执行工作总体情况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2017年</w:t>
      </w:r>
      <w:r>
        <w:rPr>
          <w:rFonts w:hint="eastAsia" w:asciiTheme="minorEastAsia" w:hAnsiTheme="minorEastAsia"/>
          <w:color w:val="000000"/>
          <w:sz w:val="28"/>
          <w:szCs w:val="28"/>
        </w:rPr>
        <w:t>九台法院</w:t>
      </w:r>
      <w:r>
        <w:rPr>
          <w:rFonts w:asciiTheme="minorEastAsia" w:hAnsiTheme="minorEastAsia"/>
          <w:color w:val="000000"/>
          <w:sz w:val="28"/>
          <w:szCs w:val="28"/>
        </w:rPr>
        <w:t>旧存执行案件</w:t>
      </w:r>
      <w:r>
        <w:rPr>
          <w:rFonts w:hint="eastAsia" w:asciiTheme="minorEastAsia" w:hAnsiTheme="minorEastAsia"/>
          <w:color w:val="000000"/>
          <w:sz w:val="28"/>
          <w:szCs w:val="28"/>
        </w:rPr>
        <w:t>16</w:t>
      </w:r>
      <w:r>
        <w:rPr>
          <w:rFonts w:asciiTheme="minorEastAsia" w:hAnsiTheme="minorEastAsia"/>
          <w:color w:val="000000"/>
          <w:sz w:val="28"/>
          <w:szCs w:val="28"/>
        </w:rPr>
        <w:t>件（截至2016年12月31日未结案件），新收</w:t>
      </w:r>
      <w:r>
        <w:rPr>
          <w:rFonts w:hint="eastAsia" w:asciiTheme="minorEastAsia" w:hAnsiTheme="minorEastAsia"/>
          <w:color w:val="000000"/>
          <w:sz w:val="28"/>
          <w:szCs w:val="28"/>
        </w:rPr>
        <w:t>3603</w:t>
      </w:r>
      <w:r>
        <w:rPr>
          <w:rFonts w:asciiTheme="minorEastAsia" w:hAnsiTheme="minorEastAsia"/>
          <w:color w:val="000000"/>
          <w:sz w:val="28"/>
          <w:szCs w:val="28"/>
        </w:rPr>
        <w:t>件，旧存加新收合计</w:t>
      </w:r>
      <w:r>
        <w:rPr>
          <w:rFonts w:hint="eastAsia" w:asciiTheme="minorEastAsia" w:hAnsiTheme="minorEastAsia"/>
          <w:color w:val="000000"/>
          <w:sz w:val="28"/>
          <w:szCs w:val="28"/>
        </w:rPr>
        <w:t>3619</w:t>
      </w:r>
      <w:r>
        <w:rPr>
          <w:rFonts w:asciiTheme="minorEastAsia" w:hAnsiTheme="minorEastAsia"/>
          <w:color w:val="000000"/>
          <w:sz w:val="28"/>
          <w:szCs w:val="28"/>
        </w:rPr>
        <w:t>件，结案</w:t>
      </w:r>
      <w:r>
        <w:rPr>
          <w:rFonts w:hint="eastAsia" w:asciiTheme="minorEastAsia" w:hAnsiTheme="minorEastAsia"/>
          <w:color w:val="000000"/>
          <w:sz w:val="28"/>
          <w:szCs w:val="28"/>
        </w:rPr>
        <w:t>3292</w:t>
      </w:r>
      <w:r>
        <w:rPr>
          <w:rFonts w:asciiTheme="minorEastAsia" w:hAnsiTheme="minorEastAsia"/>
          <w:color w:val="000000"/>
          <w:sz w:val="28"/>
          <w:szCs w:val="28"/>
        </w:rPr>
        <w:t>件，结案率</w:t>
      </w:r>
      <w:r>
        <w:rPr>
          <w:rFonts w:hint="eastAsia" w:asciiTheme="minorEastAsia" w:hAnsiTheme="minorEastAsia"/>
          <w:color w:val="000000"/>
          <w:sz w:val="28"/>
          <w:szCs w:val="28"/>
        </w:rPr>
        <w:t>90.96</w:t>
      </w:r>
      <w:r>
        <w:rPr>
          <w:rFonts w:asciiTheme="minorEastAsia" w:hAnsiTheme="minorEastAsia"/>
          <w:color w:val="000000"/>
          <w:sz w:val="28"/>
          <w:szCs w:val="28"/>
        </w:rPr>
        <w:t>%，未结案件</w:t>
      </w:r>
      <w:r>
        <w:rPr>
          <w:rFonts w:hint="eastAsia" w:asciiTheme="minorEastAsia" w:hAnsiTheme="minorEastAsia"/>
          <w:color w:val="000000"/>
          <w:sz w:val="28"/>
          <w:szCs w:val="28"/>
        </w:rPr>
        <w:t>327</w:t>
      </w:r>
      <w:r>
        <w:rPr>
          <w:rFonts w:asciiTheme="minorEastAsia" w:hAnsiTheme="minorEastAsia"/>
          <w:color w:val="000000"/>
          <w:sz w:val="28"/>
          <w:szCs w:val="28"/>
        </w:rPr>
        <w:t>件。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2017年与2016年同比，旧存减少79件，下降83.16%；新收增加1214件，上升50.82%；旧存加新收合计增加1135件，上升45.69%；结案增加825件，上升33.44%；结案率下降8.36个百分点。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八、成绩与问题分析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（一）审判执行工作总体运行平稳，新收案数、审结案数同比增加，结案率同比上升，未结案件近年来首次同比减少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面对2017年新收案件数继续大幅上升的态势，九台法院认真贯彻落实</w:t>
      </w:r>
      <w:r>
        <w:rPr>
          <w:rFonts w:hint="eastAsia" w:asciiTheme="minorEastAsia" w:hAnsiTheme="minorEastAsia"/>
          <w:color w:val="000000"/>
          <w:sz w:val="28"/>
          <w:szCs w:val="28"/>
        </w:rPr>
        <w:t>上级</w:t>
      </w:r>
      <w:r>
        <w:rPr>
          <w:rFonts w:asciiTheme="minorEastAsia" w:hAnsiTheme="minorEastAsia"/>
          <w:color w:val="000000"/>
          <w:sz w:val="28"/>
          <w:szCs w:val="28"/>
        </w:rPr>
        <w:t>法院一系列工作部署和要求，狠抓执法办案第一要务，坚持用改革的思维和方法破解工作难题，随着法官员额制改革全面落实，司法责任制改革不断深化，司法体制综合配套改革有序推进，工资改革政策基本落实到位，司法改革任务落地见效，改革红利充分释放，大大激发了一线办案人员的工作积极性，案件质效显著提升。在九台法院干警的共同努力下，2017年审判执行工作总体上呈现平稳运行、稳中向好的态势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（二）2</w:t>
      </w:r>
      <w:r>
        <w:rPr>
          <w:rFonts w:asciiTheme="minorEastAsia" w:hAnsiTheme="minorEastAsia"/>
          <w:color w:val="000000"/>
          <w:sz w:val="28"/>
          <w:szCs w:val="28"/>
        </w:rPr>
        <w:t>年以上长期未结诉讼案件数量</w:t>
      </w:r>
      <w:r>
        <w:rPr>
          <w:rFonts w:hint="eastAsia" w:asciiTheme="minorEastAsia" w:hAnsiTheme="minorEastAsia"/>
          <w:color w:val="000000"/>
          <w:sz w:val="28"/>
          <w:szCs w:val="28"/>
        </w:rPr>
        <w:t>已经清零，</w:t>
      </w:r>
      <w:r>
        <w:rPr>
          <w:rFonts w:asciiTheme="minorEastAsia" w:hAnsiTheme="minorEastAsia"/>
          <w:color w:val="000000"/>
          <w:sz w:val="28"/>
          <w:szCs w:val="28"/>
        </w:rPr>
        <w:t>应继续加大清结力度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切实增强办案人员的效率意识和均衡结案意识，对此类案件要重点督查督办，如因案情重大疑难复杂或需外单位协同等原因无法审结的，应及时报告上级法院，由上级法院专门指派院领导，亲自挂牌督办，加强统筹协调，调度办案力量，确保尽快清结，切实避免负面舆情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（三）</w:t>
      </w:r>
      <w:r>
        <w:rPr>
          <w:rFonts w:asciiTheme="minorEastAsia" w:hAnsiTheme="minorEastAsia"/>
          <w:color w:val="000000"/>
          <w:sz w:val="28"/>
          <w:szCs w:val="28"/>
        </w:rPr>
        <w:t>执行工作运行态势总体向好，但执行收案和结案仍处于高位运行状态，存在的问题仍然十分突出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首次执行案件实际执结案件中以终结执行等方式结案的比重较大。执行完毕结案数量远低于以终结执行、驳回申请、撤销案件、不予执行等方式结案的数量，与执行实施工作的客观规律存在一定偏差。以终结方式结案的比率过高，不排除存在以各种方法促使当事人撤回执行申请的情形。这一做法，一方面造成当事人对执行工作不满，致使投诉、信访量增加，另一方面造成重复立案数量增加，应当引起高度重视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九、工作建议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审判执行工作是人民法院的中心工作，是人民法院服务党和国家工作大局，推进、保障“五位一体”总体布局和“四个全面”战略布局，促进经济社会发展，保障人民群众合法权益的根本点、立足点和着力点。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2018年，预计九台法院新收案件将继续大幅增长，面对此态势，</w:t>
      </w:r>
      <w:r>
        <w:rPr>
          <w:rFonts w:hint="eastAsia" w:asciiTheme="minorEastAsia" w:hAnsiTheme="minorEastAsia"/>
          <w:color w:val="000000"/>
          <w:sz w:val="28"/>
          <w:szCs w:val="28"/>
        </w:rPr>
        <w:t>院长</w:t>
      </w:r>
      <w:r>
        <w:rPr>
          <w:rFonts w:asciiTheme="minorEastAsia" w:hAnsiTheme="minorEastAsia"/>
          <w:color w:val="000000"/>
          <w:sz w:val="28"/>
          <w:szCs w:val="28"/>
        </w:rPr>
        <w:t>作为执法办案工作的第一责任人，亲自部署、靠前指挥，切实落实执法办案主体责任。面对日益增加的办案任务，</w:t>
      </w:r>
      <w:r>
        <w:rPr>
          <w:rFonts w:hint="eastAsia" w:asciiTheme="minorEastAsia" w:hAnsiTheme="minorEastAsia"/>
          <w:color w:val="000000"/>
          <w:sz w:val="28"/>
          <w:szCs w:val="28"/>
        </w:rPr>
        <w:t>九台法院干警</w:t>
      </w:r>
      <w:r>
        <w:rPr>
          <w:rFonts w:asciiTheme="minorEastAsia" w:hAnsiTheme="minorEastAsia"/>
          <w:color w:val="000000"/>
          <w:sz w:val="28"/>
          <w:szCs w:val="28"/>
        </w:rPr>
        <w:t>继续保持高度的使命感和责任感，集中力量抓好审判执行工作，确保整体态势平稳运行、稳中有进，紧紧依托人民法院大数据管理与服务平台和执行指挥平台，实时掌握本院审判执行工作态势，密切关注各类案件收结存情况，动态调配办案力量，对审判执行异常情况做出实时反应、有效应对。通过督察督办、检查通报、司法公开、流程管理、案件评查等多种手段，用科学合理的审判管理方法推动审判执行工作继续平稳有序发展，确保圆满完成2018年审判执行工作任务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坚持信息化建设与应用并重，系统研发与完善并举，针对信息化建设中发现的问题，列出清单，逐项解决。增加技术保障力量，加强硬件、网络等基础设施建设，强化应用培训，完善对节点录入情况的管理考核，以信息化技术为支撑不断提高执行效率和效果。加大执行公开力度，在网上公开</w:t>
      </w:r>
      <w:r>
        <w:rPr>
          <w:rFonts w:hint="eastAsia" w:asciiTheme="minorEastAsia" w:hAnsiTheme="minorEastAsia"/>
          <w:color w:val="000000"/>
          <w:sz w:val="28"/>
          <w:szCs w:val="28"/>
        </w:rPr>
        <w:t>生效裁判</w:t>
      </w:r>
      <w:r>
        <w:rPr>
          <w:rFonts w:asciiTheme="minorEastAsia" w:hAnsiTheme="minorEastAsia"/>
          <w:color w:val="000000"/>
          <w:sz w:val="28"/>
          <w:szCs w:val="28"/>
        </w:rPr>
        <w:t>文书等信息，推动执行工作更加公开透明，接受社会监督，以公开化、信息化促进提高执行规范化水平。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eastAsia="仿宋_GB2312"/>
          <w:color w:val="000000"/>
          <w:sz w:val="32"/>
        </w:rPr>
      </w:pPr>
      <w:r>
        <w:rPr>
          <w:rFonts w:asciiTheme="minorEastAsia" w:hAnsiTheme="minorEastAsia"/>
          <w:color w:val="000000"/>
          <w:sz w:val="28"/>
          <w:szCs w:val="28"/>
        </w:rPr>
        <w:t>不断提高裁判文书上网的自动化水平，做到“裁判文书一键上网”</w:t>
      </w:r>
      <w:r>
        <w:rPr>
          <w:rFonts w:hint="eastAsia" w:asciiTheme="minorEastAsia" w:hAnsiTheme="minorEastAsia"/>
          <w:color w:val="000000"/>
          <w:sz w:val="28"/>
          <w:szCs w:val="28"/>
        </w:rPr>
        <w:t>，</w:t>
      </w:r>
      <w:r>
        <w:rPr>
          <w:rFonts w:asciiTheme="minorEastAsia" w:hAnsiTheme="minorEastAsia"/>
          <w:color w:val="000000"/>
          <w:sz w:val="28"/>
          <w:szCs w:val="28"/>
        </w:rPr>
        <w:t>减轻法官事务性工作压力，聚焦裁判文书公开率、及时性、准确性，避免未规范隐名、非最终版文书上网情况的发生，严格落实“应当公开的文书全部及时公开”工作要求，提升裁判文书公开工作水平。继续加大科技法庭建设力度，努力实现对所有法官、主要案件类型的庭审公开全覆盖</w:t>
      </w:r>
      <w:r>
        <w:rPr>
          <w:rFonts w:hint="eastAsia" w:asciiTheme="minorEastAsia" w:hAnsiTheme="minorEastAsia"/>
          <w:color w:val="000000"/>
          <w:sz w:val="28"/>
          <w:szCs w:val="28"/>
        </w:rPr>
        <w:t>。</w:t>
      </w:r>
      <w:r>
        <w:rPr>
          <w:rFonts w:asciiTheme="minorEastAsia" w:hAnsiTheme="minorEastAsia"/>
          <w:color w:val="000000"/>
          <w:sz w:val="28"/>
          <w:szCs w:val="28"/>
        </w:rPr>
        <w:t>继续加大审判流程信息公开工作力度，实现对案件的所有流程节点和主要办案材料做到全程留痕、全程监督、同步生成、自动向诉讼参与人公开。</w:t>
      </w:r>
    </w:p>
    <w:p>
      <w:pPr>
        <w:autoSpaceDE w:val="0"/>
        <w:autoSpaceDN w:val="0"/>
        <w:adjustRightInd w:val="0"/>
        <w:jc w:val="left"/>
        <w:rPr>
          <w:rFonts w:ascii="仿宋_GB2312" w:eastAsia="仿宋_GB2312"/>
          <w:color w:val="000000"/>
          <w:sz w:val="32"/>
        </w:rPr>
      </w:pPr>
    </w:p>
    <w:p>
      <w:pPr>
        <w:autoSpaceDE w:val="0"/>
        <w:autoSpaceDN w:val="0"/>
        <w:adjustRightInd w:val="0"/>
        <w:jc w:val="left"/>
        <w:rPr>
          <w:rFonts w:ascii="仿宋_GB2312" w:eastAsia="仿宋_GB2312"/>
          <w:color w:val="000000"/>
          <w:sz w:val="32"/>
        </w:rPr>
      </w:pPr>
    </w:p>
    <w:bookmarkEnd w:id="0"/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FDQMT+ä»¿å®_GB2312">
    <w:altName w:val="Arial Unicode MS"/>
    <w:panose1 w:val="00000000000000000000"/>
    <w:charset w:val="01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4159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6468"/>
    <w:rsid w:val="00057A37"/>
    <w:rsid w:val="000A537A"/>
    <w:rsid w:val="001B672D"/>
    <w:rsid w:val="002168BA"/>
    <w:rsid w:val="00247AB6"/>
    <w:rsid w:val="002768C3"/>
    <w:rsid w:val="002E4E70"/>
    <w:rsid w:val="004D5D2E"/>
    <w:rsid w:val="004E1D2C"/>
    <w:rsid w:val="005815BF"/>
    <w:rsid w:val="005960A7"/>
    <w:rsid w:val="005D2FE2"/>
    <w:rsid w:val="00616183"/>
    <w:rsid w:val="00661D69"/>
    <w:rsid w:val="00682F78"/>
    <w:rsid w:val="006D222E"/>
    <w:rsid w:val="006F2861"/>
    <w:rsid w:val="00703DDB"/>
    <w:rsid w:val="007C398C"/>
    <w:rsid w:val="007F6A45"/>
    <w:rsid w:val="009D7B35"/>
    <w:rsid w:val="00A925E7"/>
    <w:rsid w:val="00AE2E22"/>
    <w:rsid w:val="00AE647F"/>
    <w:rsid w:val="00AF3458"/>
    <w:rsid w:val="00AF56D0"/>
    <w:rsid w:val="00B12EC4"/>
    <w:rsid w:val="00B53C26"/>
    <w:rsid w:val="00B82BB4"/>
    <w:rsid w:val="00CA715B"/>
    <w:rsid w:val="00CD237D"/>
    <w:rsid w:val="00D46468"/>
    <w:rsid w:val="00D8222E"/>
    <w:rsid w:val="00E17C19"/>
    <w:rsid w:val="00E23424"/>
    <w:rsid w:val="00F51423"/>
    <w:rsid w:val="00FE26AA"/>
    <w:rsid w:val="7A0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5.xml"/><Relationship Id="rId8" Type="http://schemas.openxmlformats.org/officeDocument/2006/relationships/chart" Target="charts/chart4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258701787394168"/>
          <c:y val="0.235770664728187"/>
          <c:w val="0.948259642521167"/>
          <c:h val="0.6600301247367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1378</c:v>
                </c:pt>
                <c:pt idx="1">
                  <c:v>7379</c:v>
                </c:pt>
                <c:pt idx="2">
                  <c:v>8476</c:v>
                </c:pt>
                <c:pt idx="3">
                  <c:v>281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279</c:v>
                </c:pt>
                <c:pt idx="1">
                  <c:v>11370</c:v>
                </c:pt>
                <c:pt idx="2">
                  <c:v>11063</c:v>
                </c:pt>
                <c:pt idx="3">
                  <c:v>586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5251200"/>
        <c:axId val="85252736"/>
      </c:barChart>
      <c:catAx>
        <c:axId val="8525120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85252736"/>
        <c:crosses val="autoZero"/>
        <c:auto val="1"/>
        <c:lblAlgn val="ctr"/>
        <c:lblOffset val="100"/>
        <c:noMultiLvlLbl val="0"/>
      </c:catAx>
      <c:valAx>
        <c:axId val="852527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85251200"/>
        <c:crosses val="autoZero"/>
        <c:crossBetween val="between"/>
      </c:valAx>
    </c:plotArea>
    <c:legend>
      <c:legendPos val="t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258701787394168"/>
          <c:y val="0.116651416079225"/>
          <c:w val="0.948259642521167"/>
          <c:h val="0.784900333404271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新收案数</c:v>
                </c:pt>
              </c:strCache>
            </c:strRef>
          </c:tx>
          <c:marker>
            <c:symbol val="circle"/>
            <c:size val="7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4303</c:v>
                </c:pt>
                <c:pt idx="1">
                  <c:v>5734</c:v>
                </c:pt>
                <c:pt idx="2">
                  <c:v>7199</c:v>
                </c:pt>
                <c:pt idx="3">
                  <c:v>7379</c:v>
                </c:pt>
                <c:pt idx="4">
                  <c:v>11370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已结案数</c:v>
                </c:pt>
              </c:strCache>
            </c:strRef>
          </c:tx>
          <c:marker>
            <c:symbol val="circle"/>
            <c:size val="7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4109</c:v>
                </c:pt>
                <c:pt idx="1">
                  <c:v>5392</c:v>
                </c:pt>
                <c:pt idx="2">
                  <c:v>6494</c:v>
                </c:pt>
                <c:pt idx="3">
                  <c:v>8476</c:v>
                </c:pt>
                <c:pt idx="4">
                  <c:v>11063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9670016"/>
        <c:axId val="89671552"/>
      </c:lineChart>
      <c:catAx>
        <c:axId val="89670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89671552"/>
        <c:crosses val="autoZero"/>
        <c:auto val="1"/>
        <c:lblAlgn val="ctr"/>
        <c:lblOffset val="100"/>
        <c:noMultiLvlLbl val="0"/>
      </c:catAx>
      <c:valAx>
        <c:axId val="896715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89670016"/>
        <c:crosses val="autoZero"/>
        <c:crossBetween val="between"/>
      </c:valAx>
    </c:plotArea>
    <c:legend>
      <c:legendPos val="t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收结比</c:v>
                </c:pt>
              </c:strCache>
            </c:strRef>
          </c:tx>
          <c:marker>
            <c:symbol val="circle"/>
            <c:size val="5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Sheet1!$B$2:$B$6</c:f>
              <c:numCache>
                <c:formatCode>0.00%</c:formatCode>
                <c:ptCount val="5"/>
                <c:pt idx="0">
                  <c:v>0.9549</c:v>
                </c:pt>
                <c:pt idx="1">
                  <c:v>0.9404</c:v>
                </c:pt>
                <c:pt idx="2">
                  <c:v>0.9021</c:v>
                </c:pt>
                <c:pt idx="3">
                  <c:v>1.1487</c:v>
                </c:pt>
                <c:pt idx="4">
                  <c:v>0.973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9683456"/>
        <c:axId val="89684992"/>
      </c:lineChart>
      <c:catAx>
        <c:axId val="8968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89684992"/>
        <c:crosses val="autoZero"/>
        <c:auto val="1"/>
        <c:lblAlgn val="ctr"/>
        <c:lblOffset val="100"/>
        <c:noMultiLvlLbl val="0"/>
      </c:catAx>
      <c:valAx>
        <c:axId val="89684992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89683456"/>
        <c:crosses val="autoZero"/>
        <c:crossBetween val="between"/>
      </c:valAx>
    </c:plotArea>
    <c:legend>
      <c:legendPos val="t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1283</c:v>
                </c:pt>
                <c:pt idx="1">
                  <c:v>4990</c:v>
                </c:pt>
                <c:pt idx="2">
                  <c:v>6009</c:v>
                </c:pt>
                <c:pt idx="3">
                  <c:v>264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263</c:v>
                </c:pt>
                <c:pt idx="1">
                  <c:v>7767</c:v>
                </c:pt>
                <c:pt idx="2">
                  <c:v>7771</c:v>
                </c:pt>
                <c:pt idx="3">
                  <c:v>259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9709952"/>
        <c:axId val="89711744"/>
      </c:barChart>
      <c:catAx>
        <c:axId val="897099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89711744"/>
        <c:crosses val="autoZero"/>
        <c:auto val="1"/>
        <c:lblAlgn val="ctr"/>
        <c:lblOffset val="100"/>
        <c:noMultiLvlLbl val="0"/>
      </c:catAx>
      <c:valAx>
        <c:axId val="897117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89709952"/>
        <c:crosses val="autoZero"/>
        <c:crossBetween val="between"/>
      </c:valAx>
    </c:plotArea>
    <c:legend>
      <c:legendPos val="t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平均审理天数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Sheet1!$A$2:$A$5</c:f>
              <c:strCache>
                <c:ptCount val="4"/>
                <c:pt idx="0">
                  <c:v>民事一审</c:v>
                </c:pt>
                <c:pt idx="1">
                  <c:v>刑事一审</c:v>
                </c:pt>
                <c:pt idx="2">
                  <c:v>行政一审</c:v>
                </c:pt>
                <c:pt idx="3">
                  <c:v>赔偿案件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43.4</c:v>
                </c:pt>
                <c:pt idx="1">
                  <c:v>24.2</c:v>
                </c:pt>
                <c:pt idx="2">
                  <c:v>43.9</c:v>
                </c:pt>
                <c:pt idx="3">
                  <c:v>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9776896"/>
        <c:axId val="89778432"/>
      </c:barChart>
      <c:catAx>
        <c:axId val="897768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89778432"/>
        <c:crosses val="autoZero"/>
        <c:auto val="1"/>
        <c:lblAlgn val="ctr"/>
        <c:lblOffset val="100"/>
        <c:noMultiLvlLbl val="0"/>
      </c:catAx>
      <c:valAx>
        <c:axId val="897784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89776896"/>
        <c:crosses val="autoZero"/>
        <c:crossBetween val="between"/>
      </c:valAx>
    </c:plotArea>
    <c:legend>
      <c:legendPos val="t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587</Words>
  <Characters>3350</Characters>
  <Lines>27</Lines>
  <Paragraphs>7</Paragraphs>
  <TotalTime>414</TotalTime>
  <ScaleCrop>false</ScaleCrop>
  <LinksUpToDate>false</LinksUpToDate>
  <CharactersWithSpaces>3930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2018-03-14T01:29:00Z</dcterms:created>
  <dc:creator>User</dc:creator>
  <cp:lastModifiedBy>Administrator</cp:lastModifiedBy>
  <cp:lastPrinted>2018-03-15T05:19:00Z</cp:lastPrinted>
  <dcterms:modified xsi:type="dcterms:W3CDTF">2018-11-15T05:34:02Z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